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KPMG </w:t>
      </w:r>
      <w:r>
        <w:rPr>
          <w:rFonts w:ascii="Times New Roman" w:hAnsi="Times New Roman" w:cs="Times New Roman"/>
          <w:sz w:val="24"/>
          <w:szCs w:val="24"/>
        </w:rPr>
        <w:t>Compensation Philosophy</w:t>
      </w:r>
    </w:p>
    <w:p w:rsidR="00E70AEF" w:rsidRDefault="00E70AEF" w:rsidP="00E70A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0AEF" w:rsidRDefault="00E70AEF" w:rsidP="00E70A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p>
    <w:p w:rsidR="00446C84" w:rsidRPr="00446C84" w:rsidRDefault="00E70AEF" w:rsidP="00E70A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KPMG Compensation Philosophy</w:t>
      </w:r>
    </w:p>
    <w:p w:rsidR="00446C84" w:rsidRPr="00E70AEF" w:rsidRDefault="00446C84" w:rsidP="00E70AEF">
      <w:pPr>
        <w:spacing w:line="480" w:lineRule="auto"/>
        <w:jc w:val="center"/>
        <w:rPr>
          <w:rFonts w:ascii="Times New Roman" w:hAnsi="Times New Roman" w:cs="Times New Roman"/>
          <w:b/>
          <w:sz w:val="24"/>
          <w:szCs w:val="24"/>
        </w:rPr>
      </w:pPr>
      <w:r w:rsidRPr="00E70AEF">
        <w:rPr>
          <w:rFonts w:ascii="Times New Roman" w:hAnsi="Times New Roman" w:cs="Times New Roman"/>
          <w:b/>
          <w:sz w:val="24"/>
          <w:szCs w:val="24"/>
        </w:rPr>
        <w:t>Risks and benefits</w:t>
      </w:r>
    </w:p>
    <w:p w:rsidR="00446C84" w:rsidRPr="00446C84"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t>A compensation philosophy is a foundation of how organizations reward the talent they require to achieve business objectives. A well-articulated and communicated compensation philosophy can be essential in ensuring that the perception of employees on the compensation techniques is transparent.</w:t>
      </w:r>
    </w:p>
    <w:p w:rsidR="00446C84" w:rsidRPr="00E70AEF" w:rsidRDefault="00E70AEF" w:rsidP="00E70AEF">
      <w:pPr>
        <w:spacing w:line="480" w:lineRule="auto"/>
        <w:rPr>
          <w:rFonts w:ascii="Times New Roman" w:hAnsi="Times New Roman" w:cs="Times New Roman"/>
          <w:b/>
          <w:sz w:val="24"/>
          <w:szCs w:val="24"/>
        </w:rPr>
      </w:pPr>
      <w:r>
        <w:rPr>
          <w:rFonts w:ascii="Times New Roman" w:hAnsi="Times New Roman" w:cs="Times New Roman"/>
          <w:b/>
          <w:sz w:val="24"/>
          <w:szCs w:val="24"/>
        </w:rPr>
        <w:t>Match</w:t>
      </w:r>
    </w:p>
    <w:p w:rsidR="00446C84" w:rsidRPr="00446C84"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t>A common compensation strategy for most employers is to set levels of pay that are level to those in the market. Matching increases stability increases competition and enables the organization to attract and retain top talent. Employers find a middle ground for managing labor costs hence increasing profitability. Matching the market, however, has the potential of placing the employer in a position where they have to play catch up that may require larger adjustments to compensation philosophy in d</w:t>
      </w:r>
      <w:r w:rsidR="00E70AEF">
        <w:rPr>
          <w:rFonts w:ascii="Times New Roman" w:hAnsi="Times New Roman" w:cs="Times New Roman"/>
          <w:sz w:val="24"/>
          <w:szCs w:val="24"/>
        </w:rPr>
        <w:t>urations of tight labor markets (</w:t>
      </w:r>
      <w:r w:rsidR="00E70AEF">
        <w:rPr>
          <w:rFonts w:ascii="Times New Roman" w:eastAsia="Times New Roman" w:hAnsi="Times New Roman" w:cs="Times New Roman"/>
          <w:sz w:val="24"/>
          <w:szCs w:val="24"/>
        </w:rPr>
        <w:t xml:space="preserve">Miller, </w:t>
      </w:r>
      <w:r w:rsidR="00E70AEF" w:rsidRPr="00E70AEF">
        <w:rPr>
          <w:rFonts w:ascii="Times New Roman" w:eastAsia="Times New Roman" w:hAnsi="Times New Roman" w:cs="Times New Roman"/>
          <w:sz w:val="24"/>
          <w:szCs w:val="24"/>
        </w:rPr>
        <w:t>2015).</w:t>
      </w:r>
    </w:p>
    <w:p w:rsidR="00446C84" w:rsidRPr="00E70AEF" w:rsidRDefault="00446C84" w:rsidP="00E70AEF">
      <w:pPr>
        <w:spacing w:line="480" w:lineRule="auto"/>
        <w:rPr>
          <w:rFonts w:ascii="Times New Roman" w:hAnsi="Times New Roman" w:cs="Times New Roman"/>
          <w:b/>
          <w:sz w:val="24"/>
          <w:szCs w:val="24"/>
        </w:rPr>
      </w:pPr>
      <w:r w:rsidRPr="00E70AEF">
        <w:rPr>
          <w:rFonts w:ascii="Times New Roman" w:hAnsi="Times New Roman" w:cs="Times New Roman"/>
          <w:b/>
          <w:sz w:val="24"/>
          <w:szCs w:val="24"/>
        </w:rPr>
        <w:t>Lead</w:t>
      </w:r>
      <w:r w:rsidR="00E70AEF" w:rsidRPr="00E70AEF">
        <w:rPr>
          <w:rFonts w:ascii="Times New Roman" w:hAnsi="Times New Roman" w:cs="Times New Roman"/>
          <w:b/>
          <w:sz w:val="24"/>
          <w:szCs w:val="24"/>
        </w:rPr>
        <w:t xml:space="preserve"> </w:t>
      </w:r>
    </w:p>
    <w:p w:rsidR="00446C84" w:rsidRPr="00446C84"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t>Choosing to offer compensation higher than the pay rates in the p</w:t>
      </w:r>
      <w:bookmarkStart w:id="0" w:name="_GoBack"/>
      <w:bookmarkEnd w:id="0"/>
      <w:r w:rsidRPr="00446C84">
        <w:rPr>
          <w:rFonts w:ascii="Times New Roman" w:hAnsi="Times New Roman" w:cs="Times New Roman"/>
          <w:sz w:val="24"/>
          <w:szCs w:val="24"/>
        </w:rPr>
        <w:t xml:space="preserve">revailing market may increase the supply of candidates, increase the prospects of selecting top qualified applicants, increase morale and job productivity, minimize turnover and potentially decrease the efforts of unionization. However, this structure increases the cost of labor. There is a need for close monitoring to determine whether desired benefits are being achieved hence increasing the strain on the company. </w:t>
      </w:r>
    </w:p>
    <w:p w:rsidR="00446C84" w:rsidRPr="00E70AEF" w:rsidRDefault="00446C84" w:rsidP="00E70AEF">
      <w:pPr>
        <w:spacing w:line="480" w:lineRule="auto"/>
        <w:rPr>
          <w:rFonts w:ascii="Times New Roman" w:hAnsi="Times New Roman" w:cs="Times New Roman"/>
          <w:b/>
          <w:sz w:val="24"/>
          <w:szCs w:val="24"/>
        </w:rPr>
      </w:pPr>
      <w:r w:rsidRPr="00E70AEF">
        <w:rPr>
          <w:rFonts w:ascii="Times New Roman" w:hAnsi="Times New Roman" w:cs="Times New Roman"/>
          <w:b/>
          <w:sz w:val="24"/>
          <w:szCs w:val="24"/>
        </w:rPr>
        <w:t xml:space="preserve">Lag </w:t>
      </w:r>
    </w:p>
    <w:p w:rsidR="00446C84" w:rsidRPr="00446C84"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lastRenderedPageBreak/>
        <w:t>Compensating below prevailing market levels is common with organizations that don’t have the capacity to offer high levels and stay profitable. The strategy may reduce the cost of labor and cost of production hence increase profitability. However, dissatisfaction among employees may increase turnover and reduce their productivity. Also, it is hard to attract highly qualified personnel because of low payment levels. Fluctuations in the labor market may also destabilize t</w:t>
      </w:r>
      <w:r w:rsidR="00E70AEF">
        <w:rPr>
          <w:rFonts w:ascii="Times New Roman" w:hAnsi="Times New Roman" w:cs="Times New Roman"/>
          <w:sz w:val="24"/>
          <w:szCs w:val="24"/>
        </w:rPr>
        <w:t>he progress of the organization (</w:t>
      </w:r>
      <w:proofErr w:type="spellStart"/>
      <w:r w:rsidR="00E70AEF">
        <w:rPr>
          <w:rFonts w:ascii="Times New Roman" w:eastAsia="Times New Roman" w:hAnsi="Times New Roman" w:cs="Times New Roman"/>
          <w:sz w:val="24"/>
          <w:szCs w:val="24"/>
        </w:rPr>
        <w:t>Gartenberg</w:t>
      </w:r>
      <w:proofErr w:type="spellEnd"/>
      <w:r w:rsidR="00E70AEF">
        <w:rPr>
          <w:rFonts w:ascii="Times New Roman" w:eastAsia="Times New Roman" w:hAnsi="Times New Roman" w:cs="Times New Roman"/>
          <w:sz w:val="24"/>
          <w:szCs w:val="24"/>
        </w:rPr>
        <w:t xml:space="preserve">, &amp; </w:t>
      </w:r>
      <w:proofErr w:type="spellStart"/>
      <w:r w:rsidR="00E70AEF">
        <w:rPr>
          <w:rFonts w:ascii="Times New Roman" w:eastAsia="Times New Roman" w:hAnsi="Times New Roman" w:cs="Times New Roman"/>
          <w:sz w:val="24"/>
          <w:szCs w:val="24"/>
        </w:rPr>
        <w:t>Wulf</w:t>
      </w:r>
      <w:proofErr w:type="spellEnd"/>
      <w:r w:rsidR="00E70AEF">
        <w:rPr>
          <w:rFonts w:ascii="Times New Roman" w:eastAsia="Times New Roman" w:hAnsi="Times New Roman" w:cs="Times New Roman"/>
          <w:sz w:val="24"/>
          <w:szCs w:val="24"/>
        </w:rPr>
        <w:t xml:space="preserve">, </w:t>
      </w:r>
      <w:r w:rsidR="00E70AEF" w:rsidRPr="00E70AEF">
        <w:rPr>
          <w:rFonts w:ascii="Times New Roman" w:eastAsia="Times New Roman" w:hAnsi="Times New Roman" w:cs="Times New Roman"/>
          <w:sz w:val="24"/>
          <w:szCs w:val="24"/>
        </w:rPr>
        <w:t>2017).</w:t>
      </w:r>
    </w:p>
    <w:p w:rsidR="00446C84" w:rsidRPr="00E70AEF" w:rsidRDefault="00446C84" w:rsidP="00E70AEF">
      <w:pPr>
        <w:spacing w:line="480" w:lineRule="auto"/>
        <w:jc w:val="center"/>
        <w:rPr>
          <w:rFonts w:ascii="Times New Roman" w:hAnsi="Times New Roman" w:cs="Times New Roman"/>
          <w:b/>
          <w:sz w:val="24"/>
          <w:szCs w:val="24"/>
        </w:rPr>
      </w:pPr>
      <w:r w:rsidRPr="00E70AEF">
        <w:rPr>
          <w:rFonts w:ascii="Times New Roman" w:hAnsi="Times New Roman" w:cs="Times New Roman"/>
          <w:b/>
          <w:sz w:val="24"/>
          <w:szCs w:val="24"/>
        </w:rPr>
        <w:t>Choose appropriate strategy</w:t>
      </w:r>
    </w:p>
    <w:p w:rsidR="00446C84" w:rsidRPr="00E70AEF" w:rsidRDefault="00446C84" w:rsidP="00E70AEF">
      <w:pPr>
        <w:spacing w:line="480" w:lineRule="auto"/>
        <w:rPr>
          <w:rFonts w:ascii="Times New Roman" w:hAnsi="Times New Roman" w:cs="Times New Roman"/>
          <w:b/>
          <w:sz w:val="24"/>
          <w:szCs w:val="24"/>
        </w:rPr>
      </w:pPr>
      <w:r w:rsidRPr="00E70AEF">
        <w:rPr>
          <w:rFonts w:ascii="Times New Roman" w:hAnsi="Times New Roman" w:cs="Times New Roman"/>
          <w:b/>
          <w:sz w:val="24"/>
          <w:szCs w:val="24"/>
        </w:rPr>
        <w:t>Lead</w:t>
      </w:r>
    </w:p>
    <w:p w:rsidR="00446C84" w:rsidRPr="00446C84"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t>KPMG is one of the best paying multinationals in the world. The company has high expectation from all its stakeholders. Employees seek the wages that this company offers because they tend to be above the usual market levels. KPMG is reputable hence it requires to maintain its reputation. One way of maintaining a reputation is by ensuring that all recruits are the best in the market. Recruits must express their ability to offers the services more than any other people in the market. Attracting such great standards of performance requirements that the organization offers top compensation deals to its employees. KPMG can, therefore, benefit from the compensation strategy of leading the market.</w:t>
      </w:r>
    </w:p>
    <w:p w:rsidR="00A27C0C" w:rsidRDefault="00446C84" w:rsidP="00E70AEF">
      <w:pPr>
        <w:spacing w:line="480" w:lineRule="auto"/>
        <w:ind w:firstLine="720"/>
        <w:rPr>
          <w:rFonts w:ascii="Times New Roman" w:hAnsi="Times New Roman" w:cs="Times New Roman"/>
          <w:sz w:val="24"/>
          <w:szCs w:val="24"/>
        </w:rPr>
      </w:pPr>
      <w:r w:rsidRPr="00446C84">
        <w:rPr>
          <w:rFonts w:ascii="Times New Roman" w:hAnsi="Times New Roman" w:cs="Times New Roman"/>
          <w:sz w:val="24"/>
          <w:szCs w:val="24"/>
        </w:rPr>
        <w:t xml:space="preserve">Offering a lead in the market may strain the competition ability of KPMG’s key competitions. Those competitors that cannot match its high standards may be forced out of the market. Some may be compelled to surrender a significant portion of the market share if they cannot match the leading role posed by KPMG. KPMG has the financial ability to sustain huge wage bills because the company has a global presence and is highly profitable. The cost-benefit </w:t>
      </w:r>
      <w:r w:rsidRPr="00446C84">
        <w:rPr>
          <w:rFonts w:ascii="Times New Roman" w:hAnsi="Times New Roman" w:cs="Times New Roman"/>
          <w:sz w:val="24"/>
          <w:szCs w:val="24"/>
        </w:rPr>
        <w:lastRenderedPageBreak/>
        <w:t>analysis of this strategy will be positive for the company thus giving the green light for its implementation. The risks associated with leading can comfortably be managed by KPMG.</w:t>
      </w: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ind w:firstLine="720"/>
        <w:rPr>
          <w:rFonts w:ascii="Times New Roman" w:hAnsi="Times New Roman" w:cs="Times New Roman"/>
          <w:sz w:val="24"/>
          <w:szCs w:val="24"/>
        </w:rPr>
      </w:pPr>
    </w:p>
    <w:p w:rsidR="00E70AEF" w:rsidRDefault="00E70AEF" w:rsidP="00E70A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0AEF" w:rsidRDefault="00E70AEF" w:rsidP="00E70AEF">
      <w:pPr>
        <w:spacing w:after="0" w:line="480" w:lineRule="auto"/>
        <w:rPr>
          <w:rFonts w:ascii="Times New Roman" w:eastAsia="Times New Roman" w:hAnsi="Times New Roman" w:cs="Times New Roman"/>
          <w:sz w:val="24"/>
          <w:szCs w:val="24"/>
        </w:rPr>
      </w:pPr>
      <w:proofErr w:type="spellStart"/>
      <w:r w:rsidRPr="00E70AEF">
        <w:rPr>
          <w:rFonts w:ascii="Times New Roman" w:eastAsia="Times New Roman" w:hAnsi="Times New Roman" w:cs="Times New Roman"/>
          <w:sz w:val="24"/>
          <w:szCs w:val="24"/>
        </w:rPr>
        <w:t>Gartenberg</w:t>
      </w:r>
      <w:proofErr w:type="spellEnd"/>
      <w:r w:rsidRPr="00E70AEF">
        <w:rPr>
          <w:rFonts w:ascii="Times New Roman" w:eastAsia="Times New Roman" w:hAnsi="Times New Roman" w:cs="Times New Roman"/>
          <w:sz w:val="24"/>
          <w:szCs w:val="24"/>
        </w:rPr>
        <w:t xml:space="preserve">, C., &amp; </w:t>
      </w:r>
      <w:proofErr w:type="spellStart"/>
      <w:r w:rsidRPr="00E70AEF">
        <w:rPr>
          <w:rFonts w:ascii="Times New Roman" w:eastAsia="Times New Roman" w:hAnsi="Times New Roman" w:cs="Times New Roman"/>
          <w:sz w:val="24"/>
          <w:szCs w:val="24"/>
        </w:rPr>
        <w:t>Wulf</w:t>
      </w:r>
      <w:proofErr w:type="spellEnd"/>
      <w:r w:rsidRPr="00E70AEF">
        <w:rPr>
          <w:rFonts w:ascii="Times New Roman" w:eastAsia="Times New Roman" w:hAnsi="Times New Roman" w:cs="Times New Roman"/>
          <w:sz w:val="24"/>
          <w:szCs w:val="24"/>
        </w:rPr>
        <w:t xml:space="preserve">, J. (2017). Pay harmony? Social comparison and performance </w:t>
      </w:r>
      <w:r>
        <w:rPr>
          <w:rFonts w:ascii="Times New Roman" w:eastAsia="Times New Roman" w:hAnsi="Times New Roman" w:cs="Times New Roman"/>
          <w:sz w:val="24"/>
          <w:szCs w:val="24"/>
        </w:rPr>
        <w:tab/>
      </w:r>
      <w:r w:rsidRPr="00E70AEF">
        <w:rPr>
          <w:rFonts w:ascii="Times New Roman" w:eastAsia="Times New Roman" w:hAnsi="Times New Roman" w:cs="Times New Roman"/>
          <w:sz w:val="24"/>
          <w:szCs w:val="24"/>
        </w:rPr>
        <w:t xml:space="preserve">compensation in </w:t>
      </w:r>
      <w:proofErr w:type="spellStart"/>
      <w:r w:rsidRPr="00E70AEF">
        <w:rPr>
          <w:rFonts w:ascii="Times New Roman" w:eastAsia="Times New Roman" w:hAnsi="Times New Roman" w:cs="Times New Roman"/>
          <w:sz w:val="24"/>
          <w:szCs w:val="24"/>
        </w:rPr>
        <w:t>multibusiness</w:t>
      </w:r>
      <w:proofErr w:type="spellEnd"/>
      <w:r w:rsidRPr="00E70AEF">
        <w:rPr>
          <w:rFonts w:ascii="Times New Roman" w:eastAsia="Times New Roman" w:hAnsi="Times New Roman" w:cs="Times New Roman"/>
          <w:sz w:val="24"/>
          <w:szCs w:val="24"/>
        </w:rPr>
        <w:t xml:space="preserve"> firms. </w:t>
      </w:r>
      <w:r w:rsidRPr="00E70AEF">
        <w:rPr>
          <w:rFonts w:ascii="Times New Roman" w:eastAsia="Times New Roman" w:hAnsi="Times New Roman" w:cs="Times New Roman"/>
          <w:i/>
          <w:iCs/>
          <w:sz w:val="24"/>
          <w:szCs w:val="24"/>
        </w:rPr>
        <w:t>Organization Science</w:t>
      </w:r>
      <w:r w:rsidRPr="00E70AEF">
        <w:rPr>
          <w:rFonts w:ascii="Times New Roman" w:eastAsia="Times New Roman" w:hAnsi="Times New Roman" w:cs="Times New Roman"/>
          <w:sz w:val="24"/>
          <w:szCs w:val="24"/>
        </w:rPr>
        <w:t xml:space="preserve">, </w:t>
      </w:r>
      <w:r w:rsidRPr="00E70AEF">
        <w:rPr>
          <w:rFonts w:ascii="Times New Roman" w:eastAsia="Times New Roman" w:hAnsi="Times New Roman" w:cs="Times New Roman"/>
          <w:i/>
          <w:iCs/>
          <w:sz w:val="24"/>
          <w:szCs w:val="24"/>
        </w:rPr>
        <w:t>28</w:t>
      </w:r>
      <w:r w:rsidRPr="00E70AEF">
        <w:rPr>
          <w:rFonts w:ascii="Times New Roman" w:eastAsia="Times New Roman" w:hAnsi="Times New Roman" w:cs="Times New Roman"/>
          <w:sz w:val="24"/>
          <w:szCs w:val="24"/>
        </w:rPr>
        <w:t>(1), 39-55.</w:t>
      </w:r>
    </w:p>
    <w:p w:rsidR="00E70AEF" w:rsidRDefault="00E70AEF" w:rsidP="00E70AEF">
      <w:pPr>
        <w:spacing w:after="0" w:line="480" w:lineRule="auto"/>
        <w:rPr>
          <w:rFonts w:ascii="Times New Roman" w:eastAsia="Times New Roman" w:hAnsi="Times New Roman" w:cs="Times New Roman"/>
          <w:sz w:val="24"/>
          <w:szCs w:val="24"/>
        </w:rPr>
      </w:pPr>
      <w:r w:rsidRPr="00E70AEF">
        <w:rPr>
          <w:rFonts w:ascii="Times New Roman" w:eastAsia="Times New Roman" w:hAnsi="Times New Roman" w:cs="Times New Roman"/>
          <w:sz w:val="24"/>
          <w:szCs w:val="24"/>
        </w:rPr>
        <w:t xml:space="preserve">Miller, J. E. (2015). The Importance of a Compensation Philosophy: </w:t>
      </w:r>
      <w:proofErr w:type="spellStart"/>
      <w:r w:rsidRPr="00E70AEF">
        <w:rPr>
          <w:rFonts w:ascii="Times New Roman" w:eastAsia="Times New Roman" w:hAnsi="Times New Roman" w:cs="Times New Roman"/>
          <w:sz w:val="24"/>
          <w:szCs w:val="24"/>
        </w:rPr>
        <w:t>Redux</w:t>
      </w:r>
      <w:proofErr w:type="spellEnd"/>
      <w:r w:rsidRPr="00E70AEF">
        <w:rPr>
          <w:rFonts w:ascii="Times New Roman" w:eastAsia="Times New Roman" w:hAnsi="Times New Roman" w:cs="Times New Roman"/>
          <w:sz w:val="24"/>
          <w:szCs w:val="24"/>
        </w:rPr>
        <w:t xml:space="preserve">. </w:t>
      </w:r>
      <w:r w:rsidRPr="00E70AEF">
        <w:rPr>
          <w:rFonts w:ascii="Times New Roman" w:eastAsia="Times New Roman" w:hAnsi="Times New Roman" w:cs="Times New Roman"/>
          <w:i/>
          <w:iCs/>
          <w:sz w:val="24"/>
          <w:szCs w:val="24"/>
        </w:rPr>
        <w:t>Benefits Quarterly</w:t>
      </w:r>
      <w:r w:rsidRPr="00E70A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E70AEF">
        <w:rPr>
          <w:rFonts w:ascii="Times New Roman" w:eastAsia="Times New Roman" w:hAnsi="Times New Roman" w:cs="Times New Roman"/>
          <w:i/>
          <w:iCs/>
          <w:sz w:val="24"/>
          <w:szCs w:val="24"/>
        </w:rPr>
        <w:t>31</w:t>
      </w:r>
      <w:r w:rsidRPr="00E70AEF">
        <w:rPr>
          <w:rFonts w:ascii="Times New Roman" w:eastAsia="Times New Roman" w:hAnsi="Times New Roman" w:cs="Times New Roman"/>
          <w:sz w:val="24"/>
          <w:szCs w:val="24"/>
        </w:rPr>
        <w:t xml:space="preserve">(2), </w:t>
      </w:r>
      <w:proofErr w:type="gramStart"/>
      <w:r w:rsidRPr="00E70AEF">
        <w:rPr>
          <w:rFonts w:ascii="Times New Roman" w:eastAsia="Times New Roman" w:hAnsi="Times New Roman" w:cs="Times New Roman"/>
          <w:sz w:val="24"/>
          <w:szCs w:val="24"/>
        </w:rPr>
        <w:t>61</w:t>
      </w:r>
      <w:proofErr w:type="gramEnd"/>
      <w:r w:rsidRPr="00E70AEF">
        <w:rPr>
          <w:rFonts w:ascii="Times New Roman" w:eastAsia="Times New Roman" w:hAnsi="Times New Roman" w:cs="Times New Roman"/>
          <w:sz w:val="24"/>
          <w:szCs w:val="24"/>
        </w:rPr>
        <w:t>.</w:t>
      </w:r>
    </w:p>
    <w:p w:rsidR="00E70AEF" w:rsidRPr="00E70AEF" w:rsidRDefault="00E70AEF" w:rsidP="00E70AEF">
      <w:pPr>
        <w:spacing w:after="0" w:line="480" w:lineRule="auto"/>
        <w:rPr>
          <w:rFonts w:ascii="Times New Roman" w:eastAsia="Times New Roman" w:hAnsi="Times New Roman" w:cs="Times New Roman"/>
          <w:sz w:val="24"/>
          <w:szCs w:val="24"/>
        </w:rPr>
      </w:pPr>
      <w:proofErr w:type="spellStart"/>
      <w:r w:rsidRPr="00E70AEF">
        <w:rPr>
          <w:rFonts w:ascii="Times New Roman" w:eastAsia="Times New Roman" w:hAnsi="Times New Roman" w:cs="Times New Roman"/>
          <w:sz w:val="24"/>
          <w:szCs w:val="24"/>
        </w:rPr>
        <w:t>Noe</w:t>
      </w:r>
      <w:proofErr w:type="spellEnd"/>
      <w:r w:rsidRPr="00E70AEF">
        <w:rPr>
          <w:rFonts w:ascii="Times New Roman" w:eastAsia="Times New Roman" w:hAnsi="Times New Roman" w:cs="Times New Roman"/>
          <w:sz w:val="24"/>
          <w:szCs w:val="24"/>
        </w:rPr>
        <w:t xml:space="preserve">, R. A., Hollenbeck, J. R., Gerhart, B., &amp; Wright, P. M. (2017). </w:t>
      </w:r>
      <w:r w:rsidRPr="00E70AEF">
        <w:rPr>
          <w:rFonts w:ascii="Times New Roman" w:eastAsia="Times New Roman" w:hAnsi="Times New Roman" w:cs="Times New Roman"/>
          <w:i/>
          <w:iCs/>
          <w:sz w:val="24"/>
          <w:szCs w:val="24"/>
        </w:rPr>
        <w:t xml:space="preserve">Human resource </w:t>
      </w:r>
      <w:r>
        <w:rPr>
          <w:rFonts w:ascii="Times New Roman" w:eastAsia="Times New Roman" w:hAnsi="Times New Roman" w:cs="Times New Roman"/>
          <w:i/>
          <w:iCs/>
          <w:sz w:val="24"/>
          <w:szCs w:val="24"/>
        </w:rPr>
        <w:tab/>
      </w:r>
      <w:r w:rsidRPr="00E70AEF">
        <w:rPr>
          <w:rFonts w:ascii="Times New Roman" w:eastAsia="Times New Roman" w:hAnsi="Times New Roman" w:cs="Times New Roman"/>
          <w:i/>
          <w:iCs/>
          <w:sz w:val="24"/>
          <w:szCs w:val="24"/>
        </w:rPr>
        <w:t>management: Gaining a competitive advantage</w:t>
      </w:r>
      <w:r w:rsidRPr="00E70AEF">
        <w:rPr>
          <w:rFonts w:ascii="Times New Roman" w:eastAsia="Times New Roman" w:hAnsi="Times New Roman" w:cs="Times New Roman"/>
          <w:sz w:val="24"/>
          <w:szCs w:val="24"/>
        </w:rPr>
        <w:t xml:space="preserve">. New York, NY: McGraw-Hill </w:t>
      </w:r>
      <w:r>
        <w:rPr>
          <w:rFonts w:ascii="Times New Roman" w:eastAsia="Times New Roman" w:hAnsi="Times New Roman" w:cs="Times New Roman"/>
          <w:sz w:val="24"/>
          <w:szCs w:val="24"/>
        </w:rPr>
        <w:tab/>
      </w:r>
      <w:r w:rsidRPr="00E70AEF">
        <w:rPr>
          <w:rFonts w:ascii="Times New Roman" w:eastAsia="Times New Roman" w:hAnsi="Times New Roman" w:cs="Times New Roman"/>
          <w:sz w:val="24"/>
          <w:szCs w:val="24"/>
        </w:rPr>
        <w:t>Education.</w:t>
      </w:r>
    </w:p>
    <w:p w:rsidR="00E70AEF" w:rsidRPr="00E70AEF" w:rsidRDefault="00E70AEF" w:rsidP="00E70AEF">
      <w:pPr>
        <w:spacing w:after="0" w:line="480" w:lineRule="auto"/>
        <w:rPr>
          <w:rFonts w:ascii="Times New Roman" w:eastAsia="Times New Roman" w:hAnsi="Times New Roman" w:cs="Times New Roman"/>
          <w:sz w:val="24"/>
          <w:szCs w:val="24"/>
        </w:rPr>
      </w:pPr>
    </w:p>
    <w:p w:rsidR="00E70AEF" w:rsidRPr="00446C84" w:rsidRDefault="00E70AEF" w:rsidP="00E70AEF">
      <w:pPr>
        <w:spacing w:line="480" w:lineRule="auto"/>
        <w:ind w:firstLine="720"/>
      </w:pPr>
    </w:p>
    <w:sectPr w:rsidR="00E70AEF" w:rsidRPr="00446C84" w:rsidSect="00E70A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CD3" w:rsidRDefault="003E5CD3" w:rsidP="00E70AEF">
      <w:pPr>
        <w:spacing w:after="0" w:line="240" w:lineRule="auto"/>
      </w:pPr>
      <w:r>
        <w:separator/>
      </w:r>
    </w:p>
  </w:endnote>
  <w:endnote w:type="continuationSeparator" w:id="0">
    <w:p w:rsidR="003E5CD3" w:rsidRDefault="003E5CD3" w:rsidP="00E70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CD3" w:rsidRDefault="003E5CD3" w:rsidP="00E70AEF">
      <w:pPr>
        <w:spacing w:after="0" w:line="240" w:lineRule="auto"/>
      </w:pPr>
      <w:r>
        <w:separator/>
      </w:r>
    </w:p>
  </w:footnote>
  <w:footnote w:type="continuationSeparator" w:id="0">
    <w:p w:rsidR="003E5CD3" w:rsidRDefault="003E5CD3" w:rsidP="00E70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094428"/>
      <w:docPartObj>
        <w:docPartGallery w:val="Page Numbers (Top of Page)"/>
        <w:docPartUnique/>
      </w:docPartObj>
    </w:sdtPr>
    <w:sdtEndPr>
      <w:rPr>
        <w:noProof/>
      </w:rPr>
    </w:sdtEndPr>
    <w:sdtContent>
      <w:p w:rsidR="00E70AEF" w:rsidRDefault="00E70AEF">
        <w:pPr>
          <w:pStyle w:val="Header"/>
          <w:jc w:val="right"/>
        </w:pPr>
        <w:r>
          <w:rPr>
            <w:rFonts w:ascii="Times New Roman" w:hAnsi="Times New Roman" w:cs="Times New Roman"/>
            <w:sz w:val="24"/>
            <w:szCs w:val="24"/>
          </w:rPr>
          <w:t>KPMG COMPENSATION PHILOSOPHY</w:t>
        </w:r>
        <w:r>
          <w:t xml:space="preserve"> </w:t>
        </w:r>
        <w:r>
          <w:tab/>
        </w:r>
        <w:r>
          <w:tab/>
        </w:r>
        <w:r w:rsidRPr="00E70AEF">
          <w:rPr>
            <w:rFonts w:ascii="Times New Roman" w:hAnsi="Times New Roman" w:cs="Times New Roman"/>
            <w:sz w:val="24"/>
            <w:szCs w:val="24"/>
          </w:rPr>
          <w:fldChar w:fldCharType="begin"/>
        </w:r>
        <w:r w:rsidRPr="00E70AEF">
          <w:rPr>
            <w:rFonts w:ascii="Times New Roman" w:hAnsi="Times New Roman" w:cs="Times New Roman"/>
            <w:sz w:val="24"/>
            <w:szCs w:val="24"/>
          </w:rPr>
          <w:instrText xml:space="preserve"> PAGE   \* MERGEFORMAT </w:instrText>
        </w:r>
        <w:r w:rsidRPr="00E70AEF">
          <w:rPr>
            <w:rFonts w:ascii="Times New Roman" w:hAnsi="Times New Roman" w:cs="Times New Roman"/>
            <w:sz w:val="24"/>
            <w:szCs w:val="24"/>
          </w:rPr>
          <w:fldChar w:fldCharType="separate"/>
        </w:r>
        <w:r>
          <w:rPr>
            <w:rFonts w:ascii="Times New Roman" w:hAnsi="Times New Roman" w:cs="Times New Roman"/>
            <w:noProof/>
            <w:sz w:val="24"/>
            <w:szCs w:val="24"/>
          </w:rPr>
          <w:t>5</w:t>
        </w:r>
        <w:r w:rsidRPr="00E70AEF">
          <w:rPr>
            <w:rFonts w:ascii="Times New Roman" w:hAnsi="Times New Roman" w:cs="Times New Roman"/>
            <w:noProof/>
            <w:sz w:val="24"/>
            <w:szCs w:val="24"/>
          </w:rPr>
          <w:fldChar w:fldCharType="end"/>
        </w:r>
      </w:p>
    </w:sdtContent>
  </w:sdt>
  <w:p w:rsidR="00E70AEF" w:rsidRDefault="00E70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AEF" w:rsidRPr="00E70AEF" w:rsidRDefault="00E70AEF" w:rsidP="00E70AEF">
    <w:pPr>
      <w:spacing w:line="480" w:lineRule="auto"/>
      <w:rPr>
        <w:rFonts w:ascii="Times New Roman" w:hAnsi="Times New Roman" w:cs="Times New Roman"/>
        <w:sz w:val="24"/>
        <w:szCs w:val="24"/>
      </w:rPr>
    </w:pPr>
    <w:r>
      <w:rPr>
        <w:rFonts w:ascii="Times New Roman" w:hAnsi="Times New Roman" w:cs="Times New Roman"/>
        <w:sz w:val="24"/>
        <w:szCs w:val="24"/>
      </w:rPr>
      <w:t>Running head: KPMG COMPENSATION PHILOSOPHY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F7"/>
    <w:rsid w:val="000221A4"/>
    <w:rsid w:val="00396CF7"/>
    <w:rsid w:val="003E5CD3"/>
    <w:rsid w:val="00446C84"/>
    <w:rsid w:val="005D5414"/>
    <w:rsid w:val="006A1849"/>
    <w:rsid w:val="00A27C0C"/>
    <w:rsid w:val="00CF03B8"/>
    <w:rsid w:val="00E70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C9B90"/>
  <w15:chartTrackingRefBased/>
  <w15:docId w15:val="{78A1F658-918E-4512-BB73-E8D3AA4B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E70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AEF"/>
  </w:style>
  <w:style w:type="paragraph" w:styleId="Footer">
    <w:name w:val="footer"/>
    <w:basedOn w:val="Normal"/>
    <w:link w:val="FooterChar"/>
    <w:uiPriority w:val="99"/>
    <w:unhideWhenUsed/>
    <w:rsid w:val="00E70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75211">
      <w:bodyDiv w:val="1"/>
      <w:marLeft w:val="0"/>
      <w:marRight w:val="0"/>
      <w:marTop w:val="0"/>
      <w:marBottom w:val="0"/>
      <w:divBdr>
        <w:top w:val="none" w:sz="0" w:space="0" w:color="auto"/>
        <w:left w:val="none" w:sz="0" w:space="0" w:color="auto"/>
        <w:bottom w:val="none" w:sz="0" w:space="0" w:color="auto"/>
        <w:right w:val="none" w:sz="0" w:space="0" w:color="auto"/>
      </w:divBdr>
      <w:divsChild>
        <w:div w:id="2075199152">
          <w:marLeft w:val="0"/>
          <w:marRight w:val="0"/>
          <w:marTop w:val="0"/>
          <w:marBottom w:val="0"/>
          <w:divBdr>
            <w:top w:val="none" w:sz="0" w:space="0" w:color="auto"/>
            <w:left w:val="none" w:sz="0" w:space="0" w:color="auto"/>
            <w:bottom w:val="none" w:sz="0" w:space="0" w:color="auto"/>
            <w:right w:val="none" w:sz="0" w:space="0" w:color="auto"/>
          </w:divBdr>
        </w:div>
      </w:divsChild>
    </w:div>
    <w:div w:id="702049124">
      <w:bodyDiv w:val="1"/>
      <w:marLeft w:val="0"/>
      <w:marRight w:val="0"/>
      <w:marTop w:val="0"/>
      <w:marBottom w:val="0"/>
      <w:divBdr>
        <w:top w:val="none" w:sz="0" w:space="0" w:color="auto"/>
        <w:left w:val="none" w:sz="0" w:space="0" w:color="auto"/>
        <w:bottom w:val="none" w:sz="0" w:space="0" w:color="auto"/>
        <w:right w:val="none" w:sz="0" w:space="0" w:color="auto"/>
      </w:divBdr>
      <w:divsChild>
        <w:div w:id="738788687">
          <w:marLeft w:val="0"/>
          <w:marRight w:val="0"/>
          <w:marTop w:val="0"/>
          <w:marBottom w:val="0"/>
          <w:divBdr>
            <w:top w:val="none" w:sz="0" w:space="0" w:color="auto"/>
            <w:left w:val="none" w:sz="0" w:space="0" w:color="auto"/>
            <w:bottom w:val="none" w:sz="0" w:space="0" w:color="auto"/>
            <w:right w:val="none" w:sz="0" w:space="0" w:color="auto"/>
          </w:divBdr>
        </w:div>
      </w:divsChild>
    </w:div>
    <w:div w:id="857163770">
      <w:bodyDiv w:val="1"/>
      <w:marLeft w:val="0"/>
      <w:marRight w:val="0"/>
      <w:marTop w:val="0"/>
      <w:marBottom w:val="0"/>
      <w:divBdr>
        <w:top w:val="none" w:sz="0" w:space="0" w:color="auto"/>
        <w:left w:val="none" w:sz="0" w:space="0" w:color="auto"/>
        <w:bottom w:val="none" w:sz="0" w:space="0" w:color="auto"/>
        <w:right w:val="none" w:sz="0" w:space="0" w:color="auto"/>
      </w:divBdr>
      <w:divsChild>
        <w:div w:id="1096363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ICTADMIN</cp:lastModifiedBy>
  <cp:revision>2</cp:revision>
  <dcterms:created xsi:type="dcterms:W3CDTF">2019-06-19T11:49:00Z</dcterms:created>
  <dcterms:modified xsi:type="dcterms:W3CDTF">2019-06-19T13:21:00Z</dcterms:modified>
</cp:coreProperties>
</file>